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F0A54F6" Type="http://schemas.openxmlformats.org/officeDocument/2006/relationships/officeDocument" Target="/word/document.xml" /><Relationship Id="coreR4F0A54F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Zgodnie z art. 21 ust. 1 ustawy z dnia 8 marca 1990 r. o samorządzie gminnym rada gminy ze swojego grona może powoływać doraźne komisje do określonych zadań, ustalając przedmiot działania oraz skład osobowy.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  <w:t>Na sesji Rady Miejskiej w dniu 29 listopada 2021 r. powołano Komisję Statutową, która zaktualizowała Statut Gminy, uwzględniając aktualną linię orzeczniczą.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ab/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Wobec powyższego podjęcie uchwały uznaje się za uzasadnione.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Łukasz Adrian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Piotrowski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z w:val="22"/>
          <w:u w:val="none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2024-03-28T13:17:15Z</dcterms:created>
  <cp:lastModifiedBy>DESKTOP-6Q82R0J\Agnieszkad</cp:lastModifiedBy>
  <dcterms:modified xsi:type="dcterms:W3CDTF">2024-03-28T13:22:13Z</dcterms:modified>
  <cp:revision>9</cp:revision>
  <dc:subject>w sprawie uchwalenia Statutu Gminy Mrocza</dc:subject>
  <dc:title>Uchwała Nr LXXV/619/2024 z dnia 27 marca 2024 r.</dc:title>
</cp:coreProperties>
</file>